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5C0548" w:rsidRDefault="00AC66AC" w:rsidP="00AC66AC">
      <w:pPr>
        <w:tabs>
          <w:tab w:val="left" w:pos="3620"/>
        </w:tabs>
        <w:jc w:val="center"/>
        <w:rPr>
          <w:rFonts w:ascii="Times New Roman" w:hAnsi="Times New Roman" w:cs="Times New Roman"/>
          <w:b/>
          <w:lang w:val="es-ES"/>
        </w:rPr>
      </w:pPr>
      <w:r>
        <w:rPr>
          <w:noProof/>
          <w:lang w:eastAsia="es-ES_tradnl"/>
        </w:rPr>
        <w:drawing>
          <wp:inline distT="0" distB="0" distL="0" distR="0">
            <wp:extent cx="2095500" cy="863600"/>
            <wp:effectExtent l="0" t="0" r="12700" b="0"/>
            <wp:docPr id="7" name="Imagen 7" descr="Descripción: Macintosh HD:Users:Alex:Google Drive:Logo:Logotipo-Cay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Macintosh HD:Users:Alex:Google Drive:Logo:Logotipo-Caylus.jpg"/>
                    <pic:cNvPicPr>
                      <a:picLocks noChangeAspect="1" noChangeArrowheads="1"/>
                    </pic:cNvPicPr>
                  </pic:nvPicPr>
                  <pic:blipFill>
                    <a:blip r:embed="rId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2095500" cy="863600"/>
                    </a:xfrm>
                    <a:prstGeom prst="rect">
                      <a:avLst/>
                    </a:prstGeom>
                    <a:noFill/>
                    <a:ln>
                      <a:noFill/>
                    </a:ln>
                  </pic:spPr>
                </pic:pic>
              </a:graphicData>
            </a:graphic>
          </wp:inline>
        </w:drawing>
      </w:r>
    </w:p>
    <w:p w:rsidR="005C0548" w:rsidRDefault="005C0548">
      <w:pPr>
        <w:rPr>
          <w:rFonts w:ascii="Times New Roman" w:hAnsi="Times New Roman" w:cs="Times New Roman"/>
          <w:b/>
          <w:lang w:val="es-ES"/>
        </w:rPr>
      </w:pPr>
    </w:p>
    <w:p w:rsidR="00B41370" w:rsidRDefault="00B41370">
      <w:pPr>
        <w:rPr>
          <w:rFonts w:ascii="Times New Roman" w:hAnsi="Times New Roman" w:cs="Times New Roman"/>
          <w:b/>
          <w:lang w:val="es-ES"/>
        </w:rPr>
      </w:pPr>
    </w:p>
    <w:p w:rsidR="009C4130" w:rsidRDefault="009C4130">
      <w:pPr>
        <w:rPr>
          <w:rFonts w:ascii="Times New Roman" w:hAnsi="Times New Roman" w:cs="Times New Roman"/>
          <w:b/>
          <w:lang w:val="es-ES"/>
        </w:rPr>
      </w:pPr>
    </w:p>
    <w:p w:rsidR="007B101C" w:rsidRDefault="00B41370" w:rsidP="00B41370">
      <w:pPr>
        <w:jc w:val="center"/>
        <w:rPr>
          <w:rFonts w:ascii="Times New Roman" w:hAnsi="Times New Roman" w:cs="Times New Roman"/>
          <w:b/>
          <w:lang w:val="es-ES"/>
        </w:rPr>
      </w:pPr>
      <w:r>
        <w:rPr>
          <w:rFonts w:ascii="Times New Roman" w:hAnsi="Times New Roman" w:cs="Times New Roman"/>
          <w:b/>
          <w:noProof/>
          <w:lang w:eastAsia="es-ES_tradnl"/>
        </w:rPr>
        <w:drawing>
          <wp:inline distT="0" distB="0" distL="0" distR="0">
            <wp:extent cx="5120957" cy="5298228"/>
            <wp:effectExtent l="0" t="0" r="10160" b="10795"/>
            <wp:docPr id="4" name="Imagen 4" descr="Macintosh HD:Users:Alex:Google Drive:TEFAF 2020:Sny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ex:Google Drive:TEFAF 2020:Snyders.jpg"/>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121357" cy="5298642"/>
                    </a:xfrm>
                    <a:prstGeom prst="rect">
                      <a:avLst/>
                    </a:prstGeom>
                    <a:noFill/>
                    <a:ln>
                      <a:noFill/>
                    </a:ln>
                  </pic:spPr>
                </pic:pic>
              </a:graphicData>
            </a:graphic>
          </wp:inline>
        </w:drawing>
      </w:r>
    </w:p>
    <w:p w:rsidR="007B101C" w:rsidRDefault="007B101C" w:rsidP="00B41370">
      <w:pPr>
        <w:jc w:val="center"/>
        <w:rPr>
          <w:rFonts w:ascii="Times New Roman" w:hAnsi="Times New Roman" w:cs="Times New Roman"/>
          <w:b/>
          <w:lang w:val="es-ES"/>
        </w:rPr>
      </w:pPr>
    </w:p>
    <w:p w:rsidR="007B101C" w:rsidRDefault="007B101C" w:rsidP="00B41370">
      <w:pPr>
        <w:jc w:val="center"/>
        <w:rPr>
          <w:rFonts w:ascii="Times New Roman" w:hAnsi="Times New Roman" w:cs="Times New Roman"/>
          <w:b/>
          <w:lang w:val="es-ES"/>
        </w:rPr>
      </w:pPr>
    </w:p>
    <w:p w:rsidR="001E1461" w:rsidRPr="00D548CD" w:rsidRDefault="001E1461" w:rsidP="001E1461">
      <w:pPr>
        <w:jc w:val="center"/>
        <w:rPr>
          <w:rFonts w:ascii="Garamond" w:hAnsi="Garamond" w:cs="Times New Roman (Cuerpo en alfa"/>
          <w:b/>
          <w:bCs/>
          <w:smallCaps/>
          <w:sz w:val="28"/>
          <w:szCs w:val="28"/>
          <w:lang w:val="en-US"/>
        </w:rPr>
      </w:pPr>
      <w:r w:rsidRPr="00D548CD">
        <w:rPr>
          <w:rFonts w:ascii="Garamond" w:hAnsi="Garamond" w:cs="Times New Roman (Cuerpo en alfa"/>
          <w:b/>
          <w:bCs/>
          <w:smallCaps/>
          <w:sz w:val="28"/>
          <w:szCs w:val="28"/>
          <w:lang w:val="en-US"/>
        </w:rPr>
        <w:t>Frans Snyders</w:t>
      </w:r>
    </w:p>
    <w:p w:rsidR="001E1461" w:rsidRDefault="001E1461" w:rsidP="001E1461">
      <w:pPr>
        <w:jc w:val="center"/>
        <w:rPr>
          <w:rFonts w:ascii="Garamond" w:hAnsi="Garamond" w:cs="Times New Roman (Cuerpo en alfa"/>
          <w:bCs/>
          <w:lang w:val="en-US"/>
        </w:rPr>
      </w:pPr>
      <w:r w:rsidRPr="00D548CD">
        <w:rPr>
          <w:rFonts w:ascii="Garamond" w:hAnsi="Garamond" w:cs="Times New Roman (Cuerpo en alfa"/>
          <w:bCs/>
          <w:lang w:val="en-US"/>
        </w:rPr>
        <w:t>(</w:t>
      </w:r>
      <w:r>
        <w:rPr>
          <w:rFonts w:ascii="Garamond" w:hAnsi="Garamond" w:cs="Times New Roman (Cuerpo en alfa"/>
          <w:bCs/>
          <w:lang w:val="en-US"/>
        </w:rPr>
        <w:t>Antwerp, 1579-1657</w:t>
      </w:r>
      <w:r w:rsidRPr="00D548CD">
        <w:rPr>
          <w:rFonts w:ascii="Garamond" w:hAnsi="Garamond" w:cs="Times New Roman (Cuerpo en alfa"/>
          <w:bCs/>
          <w:lang w:val="en-US"/>
        </w:rPr>
        <w:t>)</w:t>
      </w:r>
    </w:p>
    <w:p w:rsidR="001E1461" w:rsidRPr="00D548CD" w:rsidRDefault="001E1461" w:rsidP="001E1461">
      <w:pPr>
        <w:spacing w:line="360" w:lineRule="auto"/>
        <w:contextualSpacing/>
        <w:jc w:val="center"/>
        <w:rPr>
          <w:rFonts w:ascii="Garamond" w:hAnsi="Garamond" w:cs="Times New Roman (Cuerpo en alfa"/>
          <w:bCs/>
          <w:lang w:val="en-US"/>
        </w:rPr>
      </w:pPr>
    </w:p>
    <w:p w:rsidR="001E1461" w:rsidRDefault="001E1461" w:rsidP="001E1461">
      <w:pPr>
        <w:spacing w:line="360" w:lineRule="auto"/>
        <w:contextualSpacing/>
        <w:jc w:val="center"/>
        <w:rPr>
          <w:rFonts w:ascii="Garamond" w:hAnsi="Garamond" w:cs="Times New Roman (Cuerpo en alfa"/>
          <w:bCs/>
          <w:i/>
          <w:iCs/>
          <w:lang w:val="en-US"/>
        </w:rPr>
      </w:pPr>
      <w:r w:rsidRPr="00D548CD">
        <w:rPr>
          <w:rFonts w:ascii="Garamond" w:hAnsi="Garamond" w:cs="Times New Roman (Cuerpo en alfa"/>
          <w:bCs/>
          <w:i/>
          <w:iCs/>
          <w:lang w:val="en-US"/>
        </w:rPr>
        <w:t>The Fa</w:t>
      </w:r>
      <w:r>
        <w:rPr>
          <w:rFonts w:ascii="Garamond" w:hAnsi="Garamond" w:cs="Times New Roman (Cuerpo en alfa"/>
          <w:bCs/>
          <w:i/>
          <w:iCs/>
          <w:lang w:val="en-US"/>
        </w:rPr>
        <w:t>ble of the Rooster and the Gem</w:t>
      </w:r>
    </w:p>
    <w:p w:rsidR="001E1461" w:rsidRPr="00D548CD" w:rsidRDefault="001E1461" w:rsidP="001E1461">
      <w:pPr>
        <w:spacing w:line="360" w:lineRule="auto"/>
        <w:contextualSpacing/>
        <w:jc w:val="center"/>
        <w:rPr>
          <w:rFonts w:ascii="Garamond" w:hAnsi="Garamond" w:cs="Times New Roman (Cuerpo en alfa"/>
          <w:bCs/>
          <w:i/>
          <w:iCs/>
          <w:lang w:val="en-US"/>
        </w:rPr>
      </w:pPr>
    </w:p>
    <w:p w:rsidR="001E1461" w:rsidRDefault="001E1461" w:rsidP="001E1461">
      <w:pPr>
        <w:spacing w:line="360" w:lineRule="auto"/>
        <w:contextualSpacing/>
        <w:jc w:val="center"/>
        <w:rPr>
          <w:rFonts w:ascii="Garamond" w:hAnsi="Garamond" w:cs="Times New Roman (Cuerpo en alfa"/>
          <w:lang w:val="en-US"/>
        </w:rPr>
      </w:pPr>
      <w:r>
        <w:rPr>
          <w:rFonts w:ascii="Garamond" w:hAnsi="Garamond" w:cs="Times New Roman (Cuerpo en alfa"/>
          <w:lang w:val="en-US"/>
        </w:rPr>
        <w:t>Circa 1620-1630</w:t>
      </w:r>
    </w:p>
    <w:p w:rsidR="001E1461" w:rsidRPr="00486F43" w:rsidRDefault="001E1461" w:rsidP="001E1461">
      <w:pPr>
        <w:spacing w:line="360" w:lineRule="auto"/>
        <w:contextualSpacing/>
        <w:jc w:val="center"/>
        <w:rPr>
          <w:rFonts w:ascii="Garamond" w:hAnsi="Garamond" w:cs="Times New Roman (Cuerpo en alfa"/>
          <w:lang w:val="en-US"/>
        </w:rPr>
      </w:pPr>
      <w:r w:rsidRPr="00486F43">
        <w:rPr>
          <w:rFonts w:ascii="Garamond" w:hAnsi="Garamond" w:cs="Times New Roman (Cuerpo en alfa"/>
          <w:lang w:val="en-US"/>
        </w:rPr>
        <w:t>Oil on canvas</w:t>
      </w:r>
    </w:p>
    <w:p w:rsidR="001E1461" w:rsidRDefault="001E1461" w:rsidP="001E1461">
      <w:pPr>
        <w:spacing w:line="360" w:lineRule="auto"/>
        <w:contextualSpacing/>
        <w:jc w:val="center"/>
        <w:rPr>
          <w:rFonts w:ascii="Garamond" w:hAnsi="Garamond" w:cs="Times New Roman (Cuerpo en alfa"/>
          <w:lang w:val="en-US"/>
        </w:rPr>
      </w:pPr>
      <w:r>
        <w:rPr>
          <w:rFonts w:ascii="Garamond" w:hAnsi="Garamond" w:cs="Times New Roman (Cuerpo en alfa"/>
          <w:lang w:val="en-US"/>
        </w:rPr>
        <w:t>98 x 98 cm</w:t>
      </w:r>
    </w:p>
    <w:p w:rsidR="00B41370" w:rsidRPr="00B41370" w:rsidRDefault="00B41370" w:rsidP="00B41370">
      <w:pPr>
        <w:widowControl w:val="0"/>
        <w:autoSpaceDE w:val="0"/>
        <w:autoSpaceDN w:val="0"/>
        <w:adjustRightInd w:val="0"/>
        <w:spacing w:line="360" w:lineRule="auto"/>
        <w:contextualSpacing/>
        <w:jc w:val="both"/>
        <w:rPr>
          <w:rFonts w:ascii="Garamond" w:hAnsi="Garamond" w:cs="@˝ø/CÛ"/>
          <w:smallCaps/>
          <w:sz w:val="28"/>
          <w:szCs w:val="28"/>
          <w:lang w:val="es-ES"/>
        </w:rPr>
      </w:pPr>
      <w:r w:rsidRPr="00B41370">
        <w:rPr>
          <w:rFonts w:ascii="Garamond" w:hAnsi="Garamond" w:cs="@˝ø/CÛ"/>
          <w:smallCaps/>
          <w:sz w:val="28"/>
          <w:szCs w:val="28"/>
          <w:lang w:val="es-ES"/>
        </w:rPr>
        <w:t>Pro</w:t>
      </w:r>
      <w:r w:rsidR="001E1461">
        <w:rPr>
          <w:rFonts w:ascii="Garamond" w:hAnsi="Garamond" w:cs="@˝ø/CÛ"/>
          <w:smallCaps/>
          <w:sz w:val="28"/>
          <w:szCs w:val="28"/>
          <w:lang w:val="es-ES"/>
        </w:rPr>
        <w:t>venance</w:t>
      </w:r>
      <w:r w:rsidRPr="00B41370">
        <w:rPr>
          <w:rFonts w:ascii="Garamond" w:hAnsi="Garamond" w:cs="@˝ø/CÛ"/>
          <w:smallCaps/>
          <w:sz w:val="28"/>
          <w:szCs w:val="28"/>
          <w:lang w:val="es-ES"/>
        </w:rPr>
        <w:t>:</w:t>
      </w:r>
    </w:p>
    <w:p w:rsidR="00B41370" w:rsidRDefault="00B41370" w:rsidP="00B41370">
      <w:pPr>
        <w:widowControl w:val="0"/>
        <w:autoSpaceDE w:val="0"/>
        <w:autoSpaceDN w:val="0"/>
        <w:adjustRightInd w:val="0"/>
        <w:spacing w:line="360" w:lineRule="auto"/>
        <w:contextualSpacing/>
        <w:jc w:val="both"/>
        <w:rPr>
          <w:rFonts w:ascii="Garamond" w:hAnsi="Garamond" w:cs="@˝ø/CÛ"/>
          <w:lang w:val="es-ES"/>
        </w:rPr>
      </w:pPr>
      <w:r w:rsidRPr="00B41370">
        <w:rPr>
          <w:rFonts w:ascii="Garamond" w:hAnsi="Garamond" w:cs="@˝ø/CÛ"/>
          <w:lang w:val="es-ES"/>
        </w:rPr>
        <w:t>M</w:t>
      </w:r>
      <w:r w:rsidR="00E80F69">
        <w:rPr>
          <w:rFonts w:ascii="Garamond" w:hAnsi="Garamond" w:cs="@˝ø/CÛ"/>
          <w:lang w:val="es-ES"/>
        </w:rPr>
        <w:t xml:space="preserve">arquis of </w:t>
      </w:r>
      <w:r w:rsidR="00DF5C70">
        <w:rPr>
          <w:rFonts w:ascii="Garamond" w:hAnsi="Garamond" w:cs="@˝ø/CÛ"/>
          <w:lang w:val="es-ES"/>
        </w:rPr>
        <w:t xml:space="preserve">Leganés 1637 (inv. 161); </w:t>
      </w:r>
      <w:r w:rsidR="00E80F69">
        <w:rPr>
          <w:rFonts w:ascii="Garamond" w:hAnsi="Garamond" w:cs="@˝ø/CÛ"/>
          <w:lang w:val="es-ES"/>
        </w:rPr>
        <w:t>Marquis of</w:t>
      </w:r>
      <w:r w:rsidR="00DF5C70">
        <w:rPr>
          <w:rFonts w:ascii="Garamond" w:hAnsi="Garamond" w:cs="@˝ø/CÛ"/>
          <w:lang w:val="es-ES"/>
        </w:rPr>
        <w:t xml:space="preserve"> </w:t>
      </w:r>
      <w:r w:rsidRPr="00B41370">
        <w:rPr>
          <w:rFonts w:ascii="Garamond" w:hAnsi="Garamond" w:cs="@˝ø/CÛ"/>
          <w:lang w:val="es-ES"/>
        </w:rPr>
        <w:t xml:space="preserve">Leganés 1642 (inv. 161); </w:t>
      </w:r>
      <w:r w:rsidR="00E80F69">
        <w:rPr>
          <w:rFonts w:ascii="Garamond" w:hAnsi="Garamond" w:cs="@˝ø/CÛ"/>
          <w:lang w:val="es-ES"/>
        </w:rPr>
        <w:t>Marquis of</w:t>
      </w:r>
      <w:r w:rsidR="00DF5C70">
        <w:rPr>
          <w:rFonts w:ascii="Garamond" w:hAnsi="Garamond" w:cs="@˝ø/CÛ"/>
          <w:lang w:val="es-ES"/>
        </w:rPr>
        <w:t xml:space="preserve"> </w:t>
      </w:r>
      <w:r w:rsidR="00DF5C70" w:rsidRPr="00B41370">
        <w:rPr>
          <w:rFonts w:ascii="Garamond" w:hAnsi="Garamond" w:cs="@˝ø/CÛ"/>
          <w:lang w:val="es-ES"/>
        </w:rPr>
        <w:t xml:space="preserve">Leganés </w:t>
      </w:r>
      <w:r w:rsidR="00E80F69">
        <w:rPr>
          <w:rFonts w:ascii="Garamond" w:hAnsi="Garamond" w:cs="@˝ø/CÛ"/>
          <w:lang w:val="es-ES"/>
        </w:rPr>
        <w:t>1655, Palace of</w:t>
      </w:r>
      <w:r w:rsidRPr="00B41370">
        <w:rPr>
          <w:rFonts w:ascii="Garamond" w:hAnsi="Garamond" w:cs="@˝ø/CÛ"/>
          <w:lang w:val="es-ES"/>
        </w:rPr>
        <w:t xml:space="preserve"> San Bernardo (inv. 161; </w:t>
      </w:r>
      <w:r w:rsidR="00E80F69">
        <w:rPr>
          <w:rFonts w:ascii="Garamond" w:hAnsi="Garamond" w:cs="@˝ø/CÛ"/>
          <w:lang w:val="es-ES"/>
        </w:rPr>
        <w:t>Count of Altamira 1726, Palace of</w:t>
      </w:r>
      <w:r w:rsidRPr="00B41370">
        <w:rPr>
          <w:rFonts w:ascii="Garamond" w:hAnsi="Garamond" w:cs="@˝ø/CÛ"/>
          <w:lang w:val="es-ES"/>
        </w:rPr>
        <w:t xml:space="preserve"> San Bernardo, "sala</w:t>
      </w:r>
      <w:r>
        <w:rPr>
          <w:rFonts w:ascii="Garamond" w:hAnsi="Garamond" w:cs="@˝ø/CÛ"/>
          <w:lang w:val="es-ES"/>
        </w:rPr>
        <w:t xml:space="preserve"> </w:t>
      </w:r>
      <w:r w:rsidRPr="00B41370">
        <w:rPr>
          <w:rFonts w:ascii="Garamond" w:hAnsi="Garamond" w:cs="@˝ø/CÛ"/>
          <w:lang w:val="es-ES"/>
        </w:rPr>
        <w:t xml:space="preserve">entre los dos patios" (inv. 161); Vicente Pío Moscoso, </w:t>
      </w:r>
      <w:r w:rsidR="00E80F69">
        <w:rPr>
          <w:rFonts w:ascii="Garamond" w:hAnsi="Garamond" w:cs="@˝ø/CÛ"/>
          <w:lang w:val="es-ES"/>
        </w:rPr>
        <w:t>Count of</w:t>
      </w:r>
      <w:r w:rsidRPr="00B41370">
        <w:rPr>
          <w:rFonts w:ascii="Garamond" w:hAnsi="Garamond" w:cs="@˝ø/CÛ"/>
          <w:lang w:val="es-ES"/>
        </w:rPr>
        <w:t xml:space="preserve"> Altamira </w:t>
      </w:r>
      <w:r w:rsidR="00E80F69">
        <w:rPr>
          <w:rFonts w:ascii="Garamond" w:hAnsi="Garamond" w:cs="@˝ø/CÛ"/>
          <w:lang w:val="es-ES"/>
        </w:rPr>
        <w:t>and</w:t>
      </w:r>
      <w:r w:rsidR="00DF5C70">
        <w:rPr>
          <w:rFonts w:ascii="Garamond" w:hAnsi="Garamond" w:cs="@˝ø/CÛ"/>
          <w:lang w:val="es-ES"/>
        </w:rPr>
        <w:t xml:space="preserve"> </w:t>
      </w:r>
      <w:r w:rsidR="00E80F69">
        <w:rPr>
          <w:rFonts w:ascii="Garamond" w:hAnsi="Garamond" w:cs="@˝ø/CÛ"/>
          <w:lang w:val="es-ES"/>
        </w:rPr>
        <w:t>Duke of</w:t>
      </w:r>
      <w:r>
        <w:rPr>
          <w:rFonts w:ascii="Garamond" w:hAnsi="Garamond" w:cs="@˝ø/CÛ"/>
          <w:lang w:val="es-ES"/>
        </w:rPr>
        <w:t xml:space="preserve"> </w:t>
      </w:r>
      <w:r w:rsidR="00DF5C70">
        <w:rPr>
          <w:rFonts w:ascii="Garamond" w:hAnsi="Garamond" w:cs="@˝ø/CÛ"/>
          <w:lang w:val="es-ES"/>
        </w:rPr>
        <w:t xml:space="preserve">Montemar, 1864 (inv. 455); </w:t>
      </w:r>
      <w:r w:rsidR="00417F7C">
        <w:rPr>
          <w:rFonts w:ascii="Garamond" w:hAnsi="Garamond" w:cs="@˝ø/CÛ"/>
          <w:lang w:val="es-ES"/>
        </w:rPr>
        <w:t>Gonzalo Ulloa Ortega-Montañés (1833-1882), Count of Adanero; José María Ulloa Ortega-Montañés, Marquis of Castro-Serna, Count of</w:t>
      </w:r>
      <w:r w:rsidR="00417F7C" w:rsidRPr="00A07D7F">
        <w:rPr>
          <w:rFonts w:ascii="Garamond" w:hAnsi="Garamond" w:cs="@˝ø/CÛ"/>
          <w:lang w:val="es-ES"/>
        </w:rPr>
        <w:t xml:space="preserve"> Adanero (1839-1905)</w:t>
      </w:r>
      <w:r w:rsidR="00417F7C">
        <w:rPr>
          <w:rFonts w:ascii="Garamond" w:hAnsi="Garamond" w:cs="@˝ø/CÛ"/>
          <w:lang w:val="es-ES"/>
        </w:rPr>
        <w:t xml:space="preserve">; </w:t>
      </w:r>
      <w:r w:rsidR="00417F7C" w:rsidRPr="00A07D7F">
        <w:rPr>
          <w:rFonts w:ascii="Garamond" w:hAnsi="Garamond" w:cs="@˝ø/CÛ"/>
          <w:lang w:val="es-ES"/>
        </w:rPr>
        <w:t>Matilde Ulloa y Calderón (1870-1932),</w:t>
      </w:r>
      <w:r w:rsidR="00FC573A">
        <w:rPr>
          <w:rFonts w:ascii="Garamond" w:hAnsi="Garamond" w:cs="@˝ø/CÛ"/>
          <w:lang w:val="es-ES"/>
        </w:rPr>
        <w:t xml:space="preserve"> Viscountess of</w:t>
      </w:r>
      <w:r w:rsidR="00417F7C" w:rsidRPr="00A07D7F">
        <w:rPr>
          <w:rFonts w:ascii="Garamond" w:hAnsi="Garamond" w:cs="@˝ø/CÛ"/>
          <w:lang w:val="es-ES"/>
        </w:rPr>
        <w:t xml:space="preserve"> Roda</w:t>
      </w:r>
      <w:r w:rsidR="00417F7C">
        <w:rPr>
          <w:rFonts w:ascii="Garamond" w:hAnsi="Garamond" w:cs="@˝ø/CÛ"/>
          <w:lang w:val="es-ES"/>
        </w:rPr>
        <w:t>; Ramón Jordán de Urrí</w:t>
      </w:r>
      <w:r w:rsidR="00417F7C" w:rsidRPr="00A07D7F">
        <w:rPr>
          <w:rFonts w:ascii="Garamond" w:hAnsi="Garamond" w:cs="@˝ø/CÛ"/>
          <w:lang w:val="es-ES"/>
        </w:rPr>
        <w:t>es y Ulloa (-1960)</w:t>
      </w:r>
      <w:r w:rsidR="00417F7C">
        <w:rPr>
          <w:rFonts w:ascii="Garamond" w:hAnsi="Garamond" w:cs="@˝ø/CÛ"/>
          <w:lang w:val="es-ES"/>
        </w:rPr>
        <w:t xml:space="preserve">, </w:t>
      </w:r>
      <w:r w:rsidR="00FC573A">
        <w:rPr>
          <w:rFonts w:ascii="Garamond" w:hAnsi="Garamond" w:cs="@˝ø/CÛ"/>
          <w:lang w:val="es-ES"/>
        </w:rPr>
        <w:t>Viscount of</w:t>
      </w:r>
      <w:r w:rsidR="00417F7C" w:rsidRPr="00A07D7F">
        <w:rPr>
          <w:rFonts w:ascii="Garamond" w:hAnsi="Garamond" w:cs="@˝ø/CÛ"/>
          <w:lang w:val="es-ES"/>
        </w:rPr>
        <w:t xml:space="preserve"> Roda</w:t>
      </w:r>
      <w:r w:rsidR="00417F7C">
        <w:rPr>
          <w:rFonts w:ascii="Garamond" w:hAnsi="Garamond" w:cs="@˝ø/CÛ"/>
          <w:lang w:val="es-ES"/>
        </w:rPr>
        <w:t xml:space="preserve">; </w:t>
      </w:r>
      <w:r w:rsidR="002F5A9A">
        <w:rPr>
          <w:rFonts w:ascii="Garamond" w:hAnsi="Garamond" w:cs="@˝ø/CÛ"/>
          <w:lang w:val="es-ES"/>
        </w:rPr>
        <w:t>by descent to the present owners.</w:t>
      </w:r>
    </w:p>
    <w:p w:rsidR="00B41370" w:rsidRPr="00B41370" w:rsidRDefault="00B41370" w:rsidP="00B41370">
      <w:pPr>
        <w:widowControl w:val="0"/>
        <w:autoSpaceDE w:val="0"/>
        <w:autoSpaceDN w:val="0"/>
        <w:adjustRightInd w:val="0"/>
        <w:spacing w:line="360" w:lineRule="auto"/>
        <w:contextualSpacing/>
        <w:jc w:val="both"/>
        <w:rPr>
          <w:rFonts w:ascii="Garamond" w:hAnsi="Garamond" w:cs="@˝ø/CÛ"/>
          <w:lang w:val="es-ES"/>
        </w:rPr>
      </w:pPr>
    </w:p>
    <w:p w:rsidR="00B41370" w:rsidRPr="00B41370" w:rsidRDefault="00E80F69" w:rsidP="00B41370">
      <w:pPr>
        <w:widowControl w:val="0"/>
        <w:autoSpaceDE w:val="0"/>
        <w:autoSpaceDN w:val="0"/>
        <w:adjustRightInd w:val="0"/>
        <w:spacing w:line="360" w:lineRule="auto"/>
        <w:contextualSpacing/>
        <w:jc w:val="both"/>
        <w:rPr>
          <w:rFonts w:ascii="Garamond" w:hAnsi="Garamond" w:cs="@˝ø/CÛ"/>
          <w:smallCaps/>
          <w:sz w:val="28"/>
          <w:szCs w:val="28"/>
          <w:lang w:val="es-ES"/>
        </w:rPr>
      </w:pPr>
      <w:r>
        <w:rPr>
          <w:rFonts w:ascii="Garamond" w:hAnsi="Garamond" w:cs="@˝ø/CÛ"/>
          <w:smallCaps/>
          <w:sz w:val="28"/>
          <w:szCs w:val="28"/>
          <w:lang w:val="es-ES"/>
        </w:rPr>
        <w:t>Related literature</w:t>
      </w:r>
      <w:r w:rsidR="00B41370" w:rsidRPr="00B41370">
        <w:rPr>
          <w:rFonts w:ascii="Garamond" w:hAnsi="Garamond" w:cs="@˝ø/CÛ"/>
          <w:smallCaps/>
          <w:sz w:val="28"/>
          <w:szCs w:val="28"/>
          <w:lang w:val="es-ES"/>
        </w:rPr>
        <w:t>:</w:t>
      </w:r>
    </w:p>
    <w:p w:rsidR="00B41370" w:rsidRPr="00B41370" w:rsidRDefault="00B41370" w:rsidP="00B41370">
      <w:pPr>
        <w:widowControl w:val="0"/>
        <w:autoSpaceDE w:val="0"/>
        <w:autoSpaceDN w:val="0"/>
        <w:adjustRightInd w:val="0"/>
        <w:spacing w:line="360" w:lineRule="auto"/>
        <w:ind w:left="709" w:hanging="709"/>
        <w:contextualSpacing/>
        <w:jc w:val="both"/>
        <w:rPr>
          <w:rFonts w:ascii="Garamond" w:hAnsi="Garamond" w:cs="@˝ø/CÛ"/>
          <w:i/>
          <w:lang w:val="es-ES"/>
        </w:rPr>
      </w:pPr>
      <w:r w:rsidRPr="00B41370">
        <w:rPr>
          <w:rFonts w:ascii="Garamond" w:hAnsi="Garamond" w:cs="@˝ø/CÛ"/>
          <w:smallCaps/>
          <w:lang w:val="es-ES"/>
        </w:rPr>
        <w:t>López Navío</w:t>
      </w:r>
      <w:r w:rsidRPr="00B41370">
        <w:rPr>
          <w:rFonts w:ascii="Garamond" w:hAnsi="Garamond" w:cs="@˝ø/CÛ"/>
          <w:lang w:val="es-ES"/>
        </w:rPr>
        <w:t xml:space="preserve">, J. L. “La gran colección de pinturas del Marqués de Leganés”, </w:t>
      </w:r>
      <w:r w:rsidRPr="00B41370">
        <w:rPr>
          <w:rFonts w:ascii="Garamond" w:hAnsi="Garamond" w:cs="@˝ø/CÛ"/>
          <w:i/>
          <w:lang w:val="es-ES"/>
        </w:rPr>
        <w:t>Analecta</w:t>
      </w:r>
      <w:r>
        <w:rPr>
          <w:rFonts w:ascii="Garamond" w:hAnsi="Garamond" w:cs="@˝ø/CÛ"/>
          <w:i/>
          <w:lang w:val="es-ES"/>
        </w:rPr>
        <w:t xml:space="preserve"> </w:t>
      </w:r>
      <w:r w:rsidRPr="00B41370">
        <w:rPr>
          <w:rFonts w:ascii="Garamond" w:hAnsi="Garamond" w:cs="@˝ø/CÛ"/>
          <w:i/>
          <w:lang w:val="es-ES"/>
        </w:rPr>
        <w:t>Calasanctiana,</w:t>
      </w:r>
      <w:r w:rsidRPr="00B41370">
        <w:rPr>
          <w:rFonts w:ascii="Garamond" w:hAnsi="Garamond" w:cs="@˝ø/CÛ"/>
          <w:lang w:val="es-ES"/>
        </w:rPr>
        <w:t xml:space="preserve"> 8, 1962, p. 276.</w:t>
      </w:r>
    </w:p>
    <w:p w:rsidR="00B41370" w:rsidRPr="00B41370" w:rsidRDefault="00B41370" w:rsidP="00B41370">
      <w:pPr>
        <w:widowControl w:val="0"/>
        <w:autoSpaceDE w:val="0"/>
        <w:autoSpaceDN w:val="0"/>
        <w:adjustRightInd w:val="0"/>
        <w:spacing w:line="360" w:lineRule="auto"/>
        <w:ind w:left="709" w:hanging="709"/>
        <w:contextualSpacing/>
        <w:jc w:val="both"/>
        <w:rPr>
          <w:rFonts w:ascii="Garamond" w:hAnsi="Garamond" w:cs="@˝ø/CÛ"/>
          <w:lang w:val="es-ES"/>
        </w:rPr>
      </w:pPr>
      <w:r w:rsidRPr="00B41370">
        <w:rPr>
          <w:rFonts w:ascii="Garamond" w:hAnsi="Garamond" w:cs="@˝ø/CÛ"/>
          <w:smallCaps/>
          <w:lang w:val="es-ES"/>
        </w:rPr>
        <w:t>Díaz Padrón</w:t>
      </w:r>
      <w:r w:rsidRPr="00B41370">
        <w:rPr>
          <w:rFonts w:ascii="Garamond" w:hAnsi="Garamond" w:cs="@˝ø/CÛ"/>
          <w:lang w:val="es-ES"/>
        </w:rPr>
        <w:t xml:space="preserve">, M. </w:t>
      </w:r>
      <w:r w:rsidRPr="00B41370">
        <w:rPr>
          <w:rFonts w:ascii="Garamond" w:hAnsi="Garamond" w:cs="@˝ø/CÛ"/>
          <w:i/>
          <w:lang w:val="es-ES"/>
        </w:rPr>
        <w:t>Pintura Flamenca en España</w:t>
      </w:r>
      <w:r w:rsidRPr="00B41370">
        <w:rPr>
          <w:rFonts w:ascii="Garamond" w:hAnsi="Garamond" w:cs="@˝ø/CÛ"/>
          <w:lang w:val="es-ES"/>
        </w:rPr>
        <w:t xml:space="preserve">. </w:t>
      </w:r>
      <w:r w:rsidR="00E80F69">
        <w:rPr>
          <w:rFonts w:ascii="Garamond" w:hAnsi="Garamond" w:cs="@˝ø/CÛ"/>
          <w:lang w:val="es-ES"/>
        </w:rPr>
        <w:t>Phd</w:t>
      </w:r>
      <w:r w:rsidRPr="00B41370">
        <w:rPr>
          <w:rFonts w:ascii="Garamond" w:hAnsi="Garamond" w:cs="@˝ø/CÛ"/>
          <w:lang w:val="es-ES"/>
        </w:rPr>
        <w:t>. Universidad Complutense de Madrid,</w:t>
      </w:r>
      <w:r>
        <w:rPr>
          <w:rFonts w:ascii="Garamond" w:hAnsi="Garamond" w:cs="@˝ø/CÛ"/>
          <w:lang w:val="es-ES"/>
        </w:rPr>
        <w:t xml:space="preserve"> </w:t>
      </w:r>
      <w:r w:rsidRPr="00B41370">
        <w:rPr>
          <w:rFonts w:ascii="Garamond" w:hAnsi="Garamond" w:cs="@˝ø/CÛ"/>
          <w:lang w:val="es-ES"/>
        </w:rPr>
        <w:t>1976, p. 1722.</w:t>
      </w:r>
    </w:p>
    <w:p w:rsidR="00B41370" w:rsidRPr="00B41370" w:rsidRDefault="00B41370" w:rsidP="00B41370">
      <w:pPr>
        <w:widowControl w:val="0"/>
        <w:autoSpaceDE w:val="0"/>
        <w:autoSpaceDN w:val="0"/>
        <w:adjustRightInd w:val="0"/>
        <w:spacing w:line="360" w:lineRule="auto"/>
        <w:ind w:left="709" w:hanging="709"/>
        <w:contextualSpacing/>
        <w:jc w:val="both"/>
        <w:rPr>
          <w:rFonts w:ascii="Garamond" w:hAnsi="Garamond" w:cs="@˝ø/CÛ"/>
          <w:lang w:val="es-ES"/>
        </w:rPr>
      </w:pPr>
      <w:r w:rsidRPr="00B41370">
        <w:rPr>
          <w:rFonts w:ascii="Garamond" w:hAnsi="Garamond" w:cs="@˝ø/CÛ"/>
          <w:smallCaps/>
          <w:lang w:val="es-ES"/>
        </w:rPr>
        <w:t>Volk</w:t>
      </w:r>
      <w:r w:rsidRPr="00B41370">
        <w:rPr>
          <w:rFonts w:ascii="Garamond" w:hAnsi="Garamond" w:cs="@˝ø/CÛ"/>
          <w:lang w:val="es-ES"/>
        </w:rPr>
        <w:t>, M. C. “New light on a Seventeenth-Century Collector: The Marquis of Leganés”,</w:t>
      </w:r>
      <w:r>
        <w:rPr>
          <w:rFonts w:ascii="Garamond" w:hAnsi="Garamond" w:cs="@˝ø/CÛ"/>
          <w:lang w:val="es-ES"/>
        </w:rPr>
        <w:t xml:space="preserve"> </w:t>
      </w:r>
      <w:r w:rsidRPr="00B41370">
        <w:rPr>
          <w:rFonts w:ascii="Garamond" w:hAnsi="Garamond" w:cs="@˝ø/CÛ"/>
          <w:i/>
          <w:lang w:val="es-ES"/>
        </w:rPr>
        <w:t>Art Bulletin,</w:t>
      </w:r>
      <w:r w:rsidRPr="00B41370">
        <w:rPr>
          <w:rFonts w:ascii="Garamond" w:hAnsi="Garamond" w:cs="@˝ø/CÛ"/>
          <w:lang w:val="es-ES"/>
        </w:rPr>
        <w:t xml:space="preserve"> 67, 1980, p. 264, num. 49.</w:t>
      </w:r>
    </w:p>
    <w:p w:rsidR="00B41370" w:rsidRPr="00B41370" w:rsidRDefault="00B41370" w:rsidP="00B41370">
      <w:pPr>
        <w:widowControl w:val="0"/>
        <w:autoSpaceDE w:val="0"/>
        <w:autoSpaceDN w:val="0"/>
        <w:adjustRightInd w:val="0"/>
        <w:spacing w:line="360" w:lineRule="auto"/>
        <w:ind w:left="709" w:hanging="709"/>
        <w:contextualSpacing/>
        <w:jc w:val="both"/>
        <w:rPr>
          <w:rFonts w:ascii="Garamond" w:hAnsi="Garamond" w:cs="@˝ø/CÛ"/>
          <w:lang w:val="es-ES"/>
        </w:rPr>
      </w:pPr>
      <w:r w:rsidRPr="00B41370">
        <w:rPr>
          <w:rFonts w:ascii="Garamond" w:hAnsi="Garamond" w:cs="@˝ø/CÛ"/>
          <w:smallCaps/>
          <w:lang w:val="es-ES"/>
        </w:rPr>
        <w:t>Robels</w:t>
      </w:r>
      <w:r w:rsidRPr="00B41370">
        <w:rPr>
          <w:rFonts w:ascii="Garamond" w:hAnsi="Garamond" w:cs="@˝ø/CÛ"/>
          <w:lang w:val="es-ES"/>
        </w:rPr>
        <w:t xml:space="preserve">, H. </w:t>
      </w:r>
      <w:r w:rsidRPr="00B41370">
        <w:rPr>
          <w:rFonts w:ascii="Garamond" w:hAnsi="Garamond" w:cs="@˝ø/CÛ"/>
          <w:i/>
          <w:lang w:val="es-ES"/>
        </w:rPr>
        <w:t>Frans Snyders. Stillben und Tiermaler</w:t>
      </w:r>
      <w:r w:rsidR="00E80F69">
        <w:rPr>
          <w:rFonts w:ascii="Garamond" w:hAnsi="Garamond" w:cs="@˝ø/CÛ"/>
          <w:lang w:val="es-ES"/>
        </w:rPr>
        <w:t>. Mu</w:t>
      </w:r>
      <w:r w:rsidRPr="00B41370">
        <w:rPr>
          <w:rFonts w:ascii="Garamond" w:hAnsi="Garamond" w:cs="@˝ø/CÛ"/>
          <w:lang w:val="es-ES"/>
        </w:rPr>
        <w:t>nich: Deutcher Kunstveriag, 1989, p. 310</w:t>
      </w:r>
      <w:r w:rsidR="00E80F69">
        <w:rPr>
          <w:rFonts w:ascii="Garamond" w:hAnsi="Garamond" w:cs="@˝ø/CÛ"/>
          <w:lang w:val="es-ES"/>
        </w:rPr>
        <w:t xml:space="preserve"> and</w:t>
      </w:r>
      <w:r>
        <w:rPr>
          <w:rFonts w:ascii="Garamond" w:hAnsi="Garamond" w:cs="@˝ø/CÛ"/>
          <w:lang w:val="es-ES"/>
        </w:rPr>
        <w:t xml:space="preserve"> p. 517, nú</w:t>
      </w:r>
      <w:r w:rsidRPr="00B41370">
        <w:rPr>
          <w:rFonts w:ascii="Garamond" w:hAnsi="Garamond" w:cs="@˝ø/CÛ"/>
          <w:lang w:val="es-ES"/>
        </w:rPr>
        <w:t>m. V42.</w:t>
      </w:r>
    </w:p>
    <w:p w:rsidR="00B41370" w:rsidRPr="00B41370" w:rsidRDefault="00B41370" w:rsidP="00B41370">
      <w:pPr>
        <w:widowControl w:val="0"/>
        <w:autoSpaceDE w:val="0"/>
        <w:autoSpaceDN w:val="0"/>
        <w:adjustRightInd w:val="0"/>
        <w:spacing w:line="360" w:lineRule="auto"/>
        <w:ind w:left="709" w:hanging="709"/>
        <w:contextualSpacing/>
        <w:jc w:val="both"/>
        <w:rPr>
          <w:rFonts w:ascii="Garamond" w:hAnsi="Garamond" w:cs="@˝ø/CÛ"/>
          <w:lang w:val="es-ES"/>
        </w:rPr>
      </w:pPr>
      <w:r w:rsidRPr="00B41370">
        <w:rPr>
          <w:rFonts w:ascii="Garamond" w:hAnsi="Garamond" w:cs="@˝ø/CÛ"/>
          <w:smallCaps/>
          <w:lang w:val="es-ES"/>
        </w:rPr>
        <w:t>Koslow</w:t>
      </w:r>
      <w:r w:rsidRPr="00B41370">
        <w:rPr>
          <w:rFonts w:ascii="Garamond" w:hAnsi="Garamond" w:cs="@˝ø/CÛ"/>
          <w:lang w:val="es-ES"/>
        </w:rPr>
        <w:t xml:space="preserve">, S. </w:t>
      </w:r>
      <w:r w:rsidRPr="00B41370">
        <w:rPr>
          <w:rFonts w:ascii="Garamond" w:hAnsi="Garamond" w:cs="@˝ø/CÛ"/>
          <w:i/>
          <w:lang w:val="es-ES"/>
        </w:rPr>
        <w:t>Frans Snyders</w:t>
      </w:r>
      <w:r w:rsidRPr="00B41370">
        <w:rPr>
          <w:rFonts w:ascii="Garamond" w:hAnsi="Garamond" w:cs="@˝ø/CÛ"/>
          <w:lang w:val="es-ES"/>
        </w:rPr>
        <w:t>. A</w:t>
      </w:r>
      <w:r w:rsidR="00E80F69">
        <w:rPr>
          <w:rFonts w:ascii="Garamond" w:hAnsi="Garamond" w:cs="@˝ø/CÛ"/>
          <w:lang w:val="es-ES"/>
        </w:rPr>
        <w:t>ntwerp</w:t>
      </w:r>
      <w:r w:rsidRPr="00B41370">
        <w:rPr>
          <w:rFonts w:ascii="Garamond" w:hAnsi="Garamond" w:cs="@˝ø/CÛ"/>
          <w:lang w:val="es-ES"/>
        </w:rPr>
        <w:t>: Fonds Mercato</w:t>
      </w:r>
      <w:r w:rsidR="00E80F69">
        <w:rPr>
          <w:rFonts w:ascii="Garamond" w:hAnsi="Garamond" w:cs="@˝ø/CÛ"/>
          <w:lang w:val="es-ES"/>
        </w:rPr>
        <w:t>r Paribas, 1995, pp. 259-263, nu</w:t>
      </w:r>
      <w:r w:rsidRPr="00B41370">
        <w:rPr>
          <w:rFonts w:ascii="Garamond" w:hAnsi="Garamond" w:cs="@˝ø/CÛ"/>
          <w:lang w:val="es-ES"/>
        </w:rPr>
        <w:t>m. 8.</w:t>
      </w:r>
    </w:p>
    <w:p w:rsidR="00B41370" w:rsidRPr="00B41370" w:rsidRDefault="00B41370" w:rsidP="00B41370">
      <w:pPr>
        <w:widowControl w:val="0"/>
        <w:autoSpaceDE w:val="0"/>
        <w:autoSpaceDN w:val="0"/>
        <w:adjustRightInd w:val="0"/>
        <w:spacing w:line="360" w:lineRule="auto"/>
        <w:ind w:left="709" w:hanging="709"/>
        <w:contextualSpacing/>
        <w:jc w:val="both"/>
        <w:rPr>
          <w:rFonts w:ascii="Garamond" w:hAnsi="Garamond" w:cs="@˝ø/CÛ"/>
          <w:lang w:val="es-ES"/>
        </w:rPr>
      </w:pPr>
      <w:r w:rsidRPr="00B41370">
        <w:rPr>
          <w:rFonts w:ascii="Garamond" w:hAnsi="Garamond" w:cs="@˝ø/CÛ"/>
          <w:smallCaps/>
          <w:lang w:val="es-ES"/>
        </w:rPr>
        <w:t>Pérez Preciado</w:t>
      </w:r>
      <w:r w:rsidRPr="00B41370">
        <w:rPr>
          <w:rFonts w:ascii="Garamond" w:hAnsi="Garamond" w:cs="@˝ø/CÛ"/>
          <w:lang w:val="es-ES"/>
        </w:rPr>
        <w:t xml:space="preserve">, J . J. </w:t>
      </w:r>
      <w:r w:rsidRPr="00B41370">
        <w:rPr>
          <w:rFonts w:ascii="Garamond" w:hAnsi="Garamond" w:cs="@˝ø/CÛ"/>
          <w:i/>
          <w:lang w:val="es-ES"/>
        </w:rPr>
        <w:t>El marqués de Leganés y las Artes</w:t>
      </w:r>
      <w:r w:rsidRPr="00B41370">
        <w:rPr>
          <w:rFonts w:ascii="Garamond" w:hAnsi="Garamond" w:cs="@˝ø/CÛ"/>
          <w:lang w:val="es-ES"/>
        </w:rPr>
        <w:t xml:space="preserve">. </w:t>
      </w:r>
      <w:r w:rsidR="00E80F69">
        <w:rPr>
          <w:rFonts w:ascii="Garamond" w:hAnsi="Garamond" w:cs="@˝ø/CÛ"/>
          <w:lang w:val="es-ES"/>
        </w:rPr>
        <w:t>PhD</w:t>
      </w:r>
      <w:r>
        <w:rPr>
          <w:rFonts w:ascii="Garamond" w:hAnsi="Garamond" w:cs="@˝ø/CÛ"/>
          <w:lang w:val="es-ES"/>
        </w:rPr>
        <w:t>.</w:t>
      </w:r>
      <w:r w:rsidRPr="00B41370">
        <w:rPr>
          <w:rFonts w:ascii="Garamond" w:hAnsi="Garamond" w:cs="@˝ø/CÛ"/>
          <w:lang w:val="es-ES"/>
        </w:rPr>
        <w:t xml:space="preserve"> Madrid, Universidad</w:t>
      </w:r>
      <w:r>
        <w:rPr>
          <w:rFonts w:ascii="Garamond" w:hAnsi="Garamond" w:cs="@˝ø/CÛ"/>
          <w:lang w:val="es-ES"/>
        </w:rPr>
        <w:t xml:space="preserve"> </w:t>
      </w:r>
      <w:r w:rsidRPr="00B41370">
        <w:rPr>
          <w:rFonts w:ascii="Garamond" w:hAnsi="Garamond" w:cs="@˝ø/CÛ"/>
          <w:lang w:val="es-ES"/>
        </w:rPr>
        <w:t xml:space="preserve">Complutense de Madrid, 2010, p. 129 </w:t>
      </w:r>
      <w:r w:rsidR="00E80F69">
        <w:rPr>
          <w:rFonts w:ascii="Garamond" w:hAnsi="Garamond" w:cs="@˝ø/CÛ"/>
          <w:lang w:val="es-ES"/>
        </w:rPr>
        <w:t>and</w:t>
      </w:r>
      <w:r>
        <w:rPr>
          <w:rFonts w:ascii="Garamond" w:hAnsi="Garamond" w:cs="@˝ø/CÛ"/>
          <w:lang w:val="es-ES"/>
        </w:rPr>
        <w:t xml:space="preserve"> </w:t>
      </w:r>
      <w:r w:rsidRPr="00B41370">
        <w:rPr>
          <w:rFonts w:ascii="Garamond" w:hAnsi="Garamond" w:cs="@˝ø/CÛ"/>
          <w:lang w:val="es-ES"/>
        </w:rPr>
        <w:t>ss.</w:t>
      </w:r>
    </w:p>
    <w:p w:rsidR="00B41370" w:rsidRDefault="00B41370" w:rsidP="00B41370">
      <w:pPr>
        <w:widowControl w:val="0"/>
        <w:autoSpaceDE w:val="0"/>
        <w:autoSpaceDN w:val="0"/>
        <w:adjustRightInd w:val="0"/>
        <w:spacing w:line="360" w:lineRule="auto"/>
        <w:contextualSpacing/>
        <w:jc w:val="both"/>
        <w:rPr>
          <w:rFonts w:ascii="Garamond" w:hAnsi="Garamond" w:cs="@˝ø/CÛ"/>
          <w:lang w:val="es-ES"/>
        </w:rPr>
      </w:pPr>
    </w:p>
    <w:p w:rsidR="00B41370" w:rsidRDefault="00B41370" w:rsidP="00B41370">
      <w:pPr>
        <w:widowControl w:val="0"/>
        <w:autoSpaceDE w:val="0"/>
        <w:autoSpaceDN w:val="0"/>
        <w:adjustRightInd w:val="0"/>
        <w:spacing w:line="360" w:lineRule="auto"/>
        <w:contextualSpacing/>
        <w:jc w:val="both"/>
        <w:rPr>
          <w:rFonts w:ascii="Garamond" w:hAnsi="Garamond" w:cs="@˝ø/CÛ"/>
          <w:lang w:val="es-ES"/>
        </w:rPr>
      </w:pPr>
    </w:p>
    <w:p w:rsidR="0046076C" w:rsidRDefault="0046076C" w:rsidP="0046076C">
      <w:pPr>
        <w:widowControl w:val="0"/>
        <w:autoSpaceDE w:val="0"/>
        <w:autoSpaceDN w:val="0"/>
        <w:adjustRightInd w:val="0"/>
        <w:spacing w:line="360" w:lineRule="auto"/>
        <w:contextualSpacing/>
        <w:jc w:val="both"/>
        <w:rPr>
          <w:rFonts w:ascii="Garamond" w:hAnsi="Garamond" w:cs="@˝ø/CÛ"/>
          <w:lang w:val="en-GB"/>
        </w:rPr>
      </w:pPr>
      <w:r w:rsidRPr="0046076C">
        <w:rPr>
          <w:rFonts w:ascii="Garamond" w:hAnsi="Garamond" w:cs="@˝ø/CÛ"/>
          <w:lang w:val="en-GB"/>
        </w:rPr>
        <w:t xml:space="preserve">A Flemish painter and draughtsman, Frans Snyders entered the studio of Pieter Brueghel the Younger in 1593, being also an apprentice to Hendrick van Balen. In 1602 he joined the Guild of Saint Luke as a master, and shortly afterwards he travelled to Rome and Milan, where he worked for Cardinal Federico </w:t>
      </w:r>
      <w:r w:rsidRPr="0046076C">
        <w:rPr>
          <w:rFonts w:ascii="Garamond" w:hAnsi="Garamond" w:cs="@˝ø/CÛ"/>
          <w:lang w:val="en-GB"/>
        </w:rPr>
        <w:softHyphen/>
        <w:t xml:space="preserve">Borromeo thanks to a recommendation from Jan Brueghel the Younger. On his return to Antwerp, in 1610, he married Margarita de Vos, sister of the painter Cornelis de Vos. Back in Italy he came into contact with Rubens, who would provide the figures for some of his paintings, at the same time as he would design pictures with a major development of the components of the still life so that Snyders could paint them. The result of this cooperation is </w:t>
      </w:r>
      <w:r w:rsidRPr="0046076C">
        <w:rPr>
          <w:rFonts w:ascii="Garamond" w:hAnsi="Garamond" w:cs="@˝ø/CÛ"/>
          <w:i/>
          <w:iCs/>
          <w:lang w:val="en-GB"/>
        </w:rPr>
        <w:t>Philopomenes recognised</w:t>
      </w:r>
      <w:r w:rsidRPr="0046076C">
        <w:rPr>
          <w:rFonts w:ascii="Garamond" w:hAnsi="Garamond" w:cs="@˝ø/CÛ"/>
          <w:lang w:val="en-GB"/>
        </w:rPr>
        <w:t xml:space="preserve"> (Prado). The first paintings by Snyders are still very closely related to the small pictures referred to as breakfast still lifes, in the manner of Osias Beert and Clara Peeters, whereas the larger paintings recall the still-life tradition that Pieter Aertsen and Joachim Beuckelaer initiated towards the end of the 16</w:t>
      </w:r>
      <w:r w:rsidRPr="0046076C">
        <w:rPr>
          <w:rFonts w:ascii="Garamond" w:hAnsi="Garamond" w:cs="@˝ø/CÛ"/>
          <w:vertAlign w:val="superscript"/>
          <w:lang w:val="en-GB"/>
        </w:rPr>
        <w:t>th</w:t>
      </w:r>
      <w:r w:rsidRPr="0046076C">
        <w:rPr>
          <w:rFonts w:ascii="Garamond" w:hAnsi="Garamond" w:cs="@˝ø/CÛ"/>
          <w:lang w:val="en-GB"/>
        </w:rPr>
        <w:t xml:space="preserve"> century in Flanders.</w:t>
      </w:r>
    </w:p>
    <w:p w:rsidR="0046076C" w:rsidRPr="0046076C" w:rsidRDefault="0046076C" w:rsidP="0046076C">
      <w:pPr>
        <w:widowControl w:val="0"/>
        <w:autoSpaceDE w:val="0"/>
        <w:autoSpaceDN w:val="0"/>
        <w:adjustRightInd w:val="0"/>
        <w:spacing w:line="360" w:lineRule="auto"/>
        <w:contextualSpacing/>
        <w:jc w:val="both"/>
        <w:rPr>
          <w:rFonts w:ascii="Garamond" w:hAnsi="Garamond" w:cs="@˝ø/CÛ"/>
          <w:lang w:val="en-GB"/>
        </w:rPr>
      </w:pPr>
    </w:p>
    <w:p w:rsidR="0046076C" w:rsidRDefault="0046076C" w:rsidP="0046076C">
      <w:pPr>
        <w:widowControl w:val="0"/>
        <w:autoSpaceDE w:val="0"/>
        <w:autoSpaceDN w:val="0"/>
        <w:adjustRightInd w:val="0"/>
        <w:spacing w:line="360" w:lineRule="auto"/>
        <w:contextualSpacing/>
        <w:jc w:val="both"/>
        <w:rPr>
          <w:rFonts w:ascii="Garamond" w:hAnsi="Garamond" w:cs="@˝ø/CÛ"/>
          <w:lang w:val="en-GB"/>
        </w:rPr>
      </w:pPr>
      <w:r w:rsidRPr="0046076C">
        <w:rPr>
          <w:rFonts w:ascii="Garamond" w:hAnsi="Garamond" w:cs="@˝ø/CÛ"/>
          <w:lang w:val="en-GB"/>
        </w:rPr>
        <w:t>From 1620 onwards, his paintings grow in size, the display of items arranged on the table increases spectacularly and the compositional lines that depict the food on the board fan out in all directions, at the same time as he progressively discards pyramidal or diagonal lines. The outlines become more rounded and fluent and dynamically enliven the paintings; and the figures grow in emotional quality and expression. As of 1630 the most exuberant baroque style dominates his output. The colouring has evolved to lighter but more varied tones, and although he continues to collaborate with Rubens, who draws the figures for his compositions, his paintings are imbued with a greater decorative quality with a rich and varied layout.</w:t>
      </w:r>
    </w:p>
    <w:p w:rsidR="0046076C" w:rsidRPr="0046076C" w:rsidRDefault="0046076C" w:rsidP="0046076C">
      <w:pPr>
        <w:widowControl w:val="0"/>
        <w:autoSpaceDE w:val="0"/>
        <w:autoSpaceDN w:val="0"/>
        <w:adjustRightInd w:val="0"/>
        <w:spacing w:line="360" w:lineRule="auto"/>
        <w:contextualSpacing/>
        <w:jc w:val="both"/>
        <w:rPr>
          <w:rFonts w:ascii="Garamond" w:hAnsi="Garamond" w:cs="@˝ø/CÛ"/>
          <w:lang w:val="en-GB"/>
        </w:rPr>
      </w:pPr>
    </w:p>
    <w:p w:rsidR="0046076C" w:rsidRDefault="0046076C" w:rsidP="0046076C">
      <w:pPr>
        <w:widowControl w:val="0"/>
        <w:autoSpaceDE w:val="0"/>
        <w:autoSpaceDN w:val="0"/>
        <w:adjustRightInd w:val="0"/>
        <w:spacing w:line="360" w:lineRule="auto"/>
        <w:contextualSpacing/>
        <w:jc w:val="both"/>
        <w:rPr>
          <w:rFonts w:ascii="Garamond" w:hAnsi="Garamond" w:cs="@˝ø/CÛ"/>
          <w:lang w:val="en-GB"/>
        </w:rPr>
      </w:pPr>
      <w:r w:rsidRPr="0046076C">
        <w:rPr>
          <w:rFonts w:ascii="Garamond" w:hAnsi="Garamond" w:cs="@˝ø/CÛ"/>
          <w:lang w:val="en-GB"/>
        </w:rPr>
        <w:t>In later years, especially in the 1640s, his work stagnates and his paintings undergo something of a regression, and he returns to the market scenes from years before. Only a hint of evolution is detected in the inclusion of landscape backgrounds, sometimes undertaken by Jan Wildens, whereby Snyders seeks to satisfy the tastes that are beginning to dominate art towards the middle of the century.</w:t>
      </w:r>
    </w:p>
    <w:p w:rsidR="0046076C" w:rsidRPr="0046076C" w:rsidRDefault="0046076C" w:rsidP="0046076C">
      <w:pPr>
        <w:widowControl w:val="0"/>
        <w:autoSpaceDE w:val="0"/>
        <w:autoSpaceDN w:val="0"/>
        <w:adjustRightInd w:val="0"/>
        <w:spacing w:line="360" w:lineRule="auto"/>
        <w:contextualSpacing/>
        <w:jc w:val="both"/>
        <w:rPr>
          <w:rFonts w:ascii="Garamond" w:hAnsi="Garamond" w:cs="@˝ø/CÛ"/>
          <w:lang w:val="en-GB"/>
        </w:rPr>
      </w:pPr>
    </w:p>
    <w:p w:rsidR="0046076C" w:rsidRPr="0046076C" w:rsidRDefault="0046076C" w:rsidP="0046076C">
      <w:pPr>
        <w:widowControl w:val="0"/>
        <w:autoSpaceDE w:val="0"/>
        <w:autoSpaceDN w:val="0"/>
        <w:adjustRightInd w:val="0"/>
        <w:spacing w:line="360" w:lineRule="auto"/>
        <w:contextualSpacing/>
        <w:jc w:val="both"/>
        <w:rPr>
          <w:rFonts w:ascii="Garamond" w:hAnsi="Garamond" w:cs="@˝ø/CÛ"/>
          <w:lang w:val="en-GB"/>
        </w:rPr>
      </w:pPr>
      <w:r w:rsidRPr="0046076C">
        <w:rPr>
          <w:rFonts w:ascii="Garamond" w:hAnsi="Garamond" w:cs="@˝ø/CÛ"/>
          <w:lang w:val="en-GB"/>
        </w:rPr>
        <w:t>The other facet in which Snyders stands out is the painting of animals, which includes hunting scenes, fables and symbolic depictions, such as the concerts of birds. As in his still lifes, he upholds the same care for the naturalistic portrayal of the subjects, achieving astounding qualities in the anatomies and physical appearance of the figures, but in these hunting scenes what prevail are the more lively and dynamic compositions. On these paintings, too, he works alongside Rubens, who paints the figures for Snyders’ animals and vice versa. Their evolution mirrors that followed by the still lifes, with their sizes growing throughout his career, tending to become more horizontal, contri</w:t>
      </w:r>
      <w:r w:rsidRPr="0046076C">
        <w:rPr>
          <w:rFonts w:ascii="Garamond" w:hAnsi="Garamond" w:cs="@˝ø/CÛ"/>
          <w:lang w:val="en-GB"/>
        </w:rPr>
        <w:softHyphen/>
        <w:t>buting to the liveliness of the scenes. At the same the baroque style of the compositions is enhanced by decorative and theatrical settings, whilst the technique becomes softer.</w:t>
      </w:r>
    </w:p>
    <w:p w:rsidR="0046076C" w:rsidRPr="0046076C" w:rsidRDefault="0046076C" w:rsidP="0046076C">
      <w:pPr>
        <w:widowControl w:val="0"/>
        <w:autoSpaceDE w:val="0"/>
        <w:autoSpaceDN w:val="0"/>
        <w:adjustRightInd w:val="0"/>
        <w:spacing w:line="360" w:lineRule="auto"/>
        <w:contextualSpacing/>
        <w:jc w:val="both"/>
        <w:rPr>
          <w:rFonts w:ascii="Garamond" w:hAnsi="Garamond" w:cs="@˝ø/CÛ"/>
          <w:lang w:val="en-GB"/>
        </w:rPr>
      </w:pPr>
    </w:p>
    <w:p w:rsidR="0046076C" w:rsidRPr="0046076C" w:rsidRDefault="0046076C" w:rsidP="0046076C">
      <w:pPr>
        <w:widowControl w:val="0"/>
        <w:autoSpaceDE w:val="0"/>
        <w:autoSpaceDN w:val="0"/>
        <w:adjustRightInd w:val="0"/>
        <w:spacing w:line="360" w:lineRule="auto"/>
        <w:contextualSpacing/>
        <w:jc w:val="both"/>
        <w:rPr>
          <w:rFonts w:ascii="Garamond" w:hAnsi="Garamond" w:cs="@˝ø/CÛ"/>
          <w:lang w:val="en-GB"/>
        </w:rPr>
      </w:pPr>
      <w:r w:rsidRPr="0046076C">
        <w:rPr>
          <w:rFonts w:ascii="Garamond" w:hAnsi="Garamond" w:cs="@˝ø/CÛ"/>
          <w:lang w:val="en-GB"/>
        </w:rPr>
        <w:t>The interest Snyders’ work awoke amongst collectors and princes throughout Europe had a postscript of remarkable quality in Spain, with his involvement in the ornament for the Torre de la Parada, for which he painted several hunting scenes and fables. Furthermore, the gifts made by renowned collectors of Flemish painting, such as the Marquis of Leganés, completed the collection of Snyders held by Philip IV and kept at the Alcázar in Madrid, which explains his considerable presence in the Prado.</w:t>
      </w:r>
    </w:p>
    <w:p w:rsidR="0046076C" w:rsidRDefault="0046076C" w:rsidP="0046076C">
      <w:pPr>
        <w:tabs>
          <w:tab w:val="num" w:pos="720"/>
        </w:tabs>
        <w:spacing w:line="360" w:lineRule="auto"/>
        <w:jc w:val="both"/>
        <w:rPr>
          <w:rFonts w:ascii="Garamond" w:hAnsi="Garamond" w:cs="Times New Roman (Cuerpo en alfa"/>
        </w:rPr>
      </w:pPr>
    </w:p>
    <w:p w:rsidR="0046076C" w:rsidRDefault="0046076C" w:rsidP="0046076C">
      <w:pPr>
        <w:tabs>
          <w:tab w:val="num" w:pos="720"/>
        </w:tabs>
        <w:spacing w:line="360" w:lineRule="auto"/>
        <w:jc w:val="both"/>
        <w:rPr>
          <w:rFonts w:ascii="Garamond" w:hAnsi="Garamond" w:cs="Times New Roman (Cuerpo en alfa"/>
        </w:rPr>
      </w:pPr>
      <w:r>
        <w:rPr>
          <w:rFonts w:ascii="Garamond" w:hAnsi="Garamond" w:cs="Times New Roman (Cuerpo en alfa"/>
        </w:rPr>
        <w:t>Our painting was part of the collection of Don Diego Mesía y Guzmán, Marquis of Leganés. He owned a se</w:t>
      </w:r>
      <w:r w:rsidR="00A31545">
        <w:rPr>
          <w:rFonts w:ascii="Garamond" w:hAnsi="Garamond" w:cs="Times New Roman (Cuerpo en alfa"/>
        </w:rPr>
        <w:t>ries of six based on different Aesop’s</w:t>
      </w:r>
      <w:bookmarkStart w:id="0" w:name="_GoBack"/>
      <w:bookmarkEnd w:id="0"/>
      <w:r>
        <w:rPr>
          <w:rFonts w:ascii="Garamond" w:hAnsi="Garamond" w:cs="Times New Roman (Cuerpo en alfa"/>
        </w:rPr>
        <w:t xml:space="preserve"> fables documented in his testamentary as follows: </w:t>
      </w:r>
      <w:r w:rsidRPr="001E5610">
        <w:rPr>
          <w:rFonts w:ascii="Garamond" w:hAnsi="Garamond" w:cs="Times New Roman (Cuerpo en alfa"/>
          <w:i/>
        </w:rPr>
        <w:t xml:space="preserve">The Lion and </w:t>
      </w:r>
      <w:r>
        <w:rPr>
          <w:rFonts w:ascii="Garamond" w:hAnsi="Garamond" w:cs="Times New Roman (Cuerpo en alfa"/>
          <w:i/>
        </w:rPr>
        <w:t xml:space="preserve">the </w:t>
      </w:r>
      <w:r w:rsidRPr="001E5610">
        <w:rPr>
          <w:rFonts w:ascii="Garamond" w:hAnsi="Garamond" w:cs="Times New Roman (Cuerpo en alfa"/>
          <w:i/>
        </w:rPr>
        <w:t>Mouse</w:t>
      </w:r>
      <w:r>
        <w:rPr>
          <w:rFonts w:ascii="Garamond" w:hAnsi="Garamond" w:cs="Times New Roman (Cuerpo en alfa"/>
        </w:rPr>
        <w:t xml:space="preserve">, </w:t>
      </w:r>
      <w:r w:rsidRPr="001E5610">
        <w:rPr>
          <w:rFonts w:ascii="Garamond" w:hAnsi="Garamond" w:cs="Times New Roman (Cuerpo en alfa"/>
          <w:i/>
        </w:rPr>
        <w:t>The Hare and the Turtle, The Dog and the Bridge, The Goat and the Wolverines, The Heron and the Swan</w:t>
      </w:r>
      <w:r w:rsidRPr="001E5610">
        <w:rPr>
          <w:rFonts w:ascii="Garamond" w:hAnsi="Garamond" w:cs="Times New Roman (Cuerpo en alfa"/>
        </w:rPr>
        <w:t xml:space="preserve"> </w:t>
      </w:r>
      <w:r>
        <w:rPr>
          <w:rFonts w:ascii="Garamond" w:hAnsi="Garamond" w:cs="Times New Roman (Cuerpo en alfa"/>
        </w:rPr>
        <w:t xml:space="preserve">and </w:t>
      </w:r>
      <w:r w:rsidRPr="001E5610">
        <w:rPr>
          <w:rFonts w:ascii="Garamond" w:hAnsi="Garamond" w:cs="Times New Roman (Cuerpo en alfa"/>
          <w:i/>
        </w:rPr>
        <w:t>The Rooster and a Diamond.</w:t>
      </w:r>
      <w:r>
        <w:rPr>
          <w:rFonts w:ascii="Garamond" w:hAnsi="Garamond" w:cs="Times New Roman (Cuerpo en alfa"/>
        </w:rPr>
        <w:t xml:space="preserve"> Another version by the artist is in the collection of the Suermondt-Ludwig-Museum, painted c. 1620-1630. </w:t>
      </w:r>
    </w:p>
    <w:p w:rsidR="004C0468" w:rsidRPr="00E53EB9" w:rsidRDefault="0046076C" w:rsidP="0046076C">
      <w:pPr>
        <w:widowControl w:val="0"/>
        <w:autoSpaceDE w:val="0"/>
        <w:autoSpaceDN w:val="0"/>
        <w:adjustRightInd w:val="0"/>
        <w:spacing w:line="360" w:lineRule="auto"/>
        <w:contextualSpacing/>
        <w:jc w:val="both"/>
        <w:rPr>
          <w:rFonts w:ascii="Garamond" w:hAnsi="Garamond" w:cs="@˝ø/CÛ"/>
          <w:lang w:val="es-ES"/>
        </w:rPr>
      </w:pPr>
      <w:r>
        <w:rPr>
          <w:rFonts w:ascii="Garamond" w:hAnsi="Garamond" w:cs="@˝ø/CÛ"/>
          <w:lang w:val="es-ES"/>
        </w:rPr>
        <w:t xml:space="preserve"> </w:t>
      </w:r>
      <w:r w:rsidR="00AA086F">
        <w:rPr>
          <w:rFonts w:ascii="Garamond" w:hAnsi="Garamond" w:cs="@˝ø/CÛ"/>
          <w:lang w:val="es-ES"/>
        </w:rPr>
        <w:t>[Fig. 1]</w:t>
      </w:r>
      <w:r w:rsidR="00B41370" w:rsidRPr="00B41370">
        <w:rPr>
          <w:rFonts w:ascii="Garamond" w:hAnsi="Garamond" w:cs="@˝ø/CÛ"/>
          <w:lang w:val="es-ES"/>
        </w:rPr>
        <w:t>.</w:t>
      </w:r>
    </w:p>
    <w:p w:rsidR="00390030" w:rsidRPr="00B41370" w:rsidRDefault="00B41370" w:rsidP="00B41370">
      <w:pPr>
        <w:spacing w:line="360" w:lineRule="auto"/>
        <w:ind w:left="709" w:hanging="709"/>
        <w:contextualSpacing/>
        <w:jc w:val="center"/>
        <w:rPr>
          <w:rFonts w:ascii="Garamond" w:hAnsi="Garamond"/>
          <w:lang w:val="en-US"/>
        </w:rPr>
      </w:pPr>
      <w:r>
        <w:rPr>
          <w:rFonts w:ascii="Garamond" w:hAnsi="Garamond"/>
          <w:b/>
          <w:noProof/>
          <w:color w:val="FF0000"/>
          <w:lang w:eastAsia="es-ES_tradnl"/>
        </w:rPr>
        <w:drawing>
          <wp:inline distT="0" distB="0" distL="0" distR="0">
            <wp:extent cx="5055573" cy="7889028"/>
            <wp:effectExtent l="0" t="0" r="0" b="10795"/>
            <wp:docPr id="24" name="Imagen 24" descr="Macintosh HD:Users:Alex:Desktop:SKM_C2582002211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ex:Desktop:SKM_C25820022110520.jpg"/>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055573" cy="7889028"/>
                    </a:xfrm>
                    <a:prstGeom prst="rect">
                      <a:avLst/>
                    </a:prstGeom>
                    <a:noFill/>
                    <a:ln>
                      <a:noFill/>
                    </a:ln>
                  </pic:spPr>
                </pic:pic>
              </a:graphicData>
            </a:graphic>
          </wp:inline>
        </w:drawing>
      </w:r>
    </w:p>
    <w:p w:rsidR="00390030" w:rsidRPr="0046076C" w:rsidRDefault="00B41370" w:rsidP="00B41370">
      <w:pPr>
        <w:spacing w:line="360" w:lineRule="auto"/>
        <w:contextualSpacing/>
        <w:jc w:val="center"/>
        <w:rPr>
          <w:rFonts w:ascii="Garamond" w:hAnsi="Garamond" w:cs="Times New Roman (Cuerpo en alfa"/>
          <w:bCs/>
          <w:i/>
          <w:iCs/>
          <w:lang w:val="en-US"/>
        </w:rPr>
      </w:pPr>
      <w:r>
        <w:rPr>
          <w:rFonts w:ascii="Garamond" w:hAnsi="Garamond" w:cs="Times New Roman"/>
          <w:lang w:val="es-ES"/>
        </w:rPr>
        <w:t xml:space="preserve">Fig. 1. </w:t>
      </w:r>
      <w:r w:rsidR="00D16464">
        <w:rPr>
          <w:rFonts w:ascii="Garamond" w:hAnsi="Garamond" w:cs="Times New Roman"/>
          <w:lang w:val="es-ES"/>
        </w:rPr>
        <w:t>Frans Snyders</w:t>
      </w:r>
      <w:r w:rsidR="00390030" w:rsidRPr="00390030">
        <w:rPr>
          <w:rFonts w:ascii="Garamond" w:hAnsi="Garamond" w:cs="Times New Roman"/>
          <w:i/>
          <w:lang w:val="es-ES"/>
        </w:rPr>
        <w:t xml:space="preserve">. </w:t>
      </w:r>
      <w:r w:rsidR="0046076C" w:rsidRPr="00D548CD">
        <w:rPr>
          <w:rFonts w:ascii="Garamond" w:hAnsi="Garamond" w:cs="Times New Roman (Cuerpo en alfa"/>
          <w:bCs/>
          <w:i/>
          <w:iCs/>
          <w:lang w:val="en-US"/>
        </w:rPr>
        <w:t>The Fa</w:t>
      </w:r>
      <w:r w:rsidR="0046076C">
        <w:rPr>
          <w:rFonts w:ascii="Garamond" w:hAnsi="Garamond" w:cs="Times New Roman (Cuerpo en alfa"/>
          <w:bCs/>
          <w:i/>
          <w:iCs/>
          <w:lang w:val="en-US"/>
        </w:rPr>
        <w:t xml:space="preserve">ble of the Rooster and the Gem, </w:t>
      </w:r>
      <w:r w:rsidR="0046076C">
        <w:rPr>
          <w:rFonts w:ascii="Garamond" w:hAnsi="Garamond" w:cs="Times New Roman (Cuerpo en alfa"/>
          <w:bCs/>
          <w:iCs/>
          <w:lang w:val="en-US"/>
        </w:rPr>
        <w:t xml:space="preserve">ca. </w:t>
      </w:r>
      <w:r w:rsidR="00D16464">
        <w:rPr>
          <w:rFonts w:ascii="Garamond" w:hAnsi="Garamond" w:cs="Times New Roman"/>
          <w:lang w:val="es-ES"/>
        </w:rPr>
        <w:t>1620-1630.</w:t>
      </w:r>
      <w:r w:rsidR="004C0468">
        <w:rPr>
          <w:rFonts w:ascii="Garamond" w:hAnsi="Garamond" w:cs="Times New Roman"/>
          <w:lang w:val="es-ES"/>
        </w:rPr>
        <w:t xml:space="preserve"> </w:t>
      </w:r>
      <w:r w:rsidR="0046076C">
        <w:rPr>
          <w:rFonts w:ascii="Garamond" w:hAnsi="Garamond" w:cs="Times New Roman"/>
          <w:lang w:val="es-ES"/>
        </w:rPr>
        <w:t>Oil on panel</w:t>
      </w:r>
      <w:r w:rsidR="00D16464">
        <w:rPr>
          <w:rFonts w:ascii="Garamond" w:hAnsi="Garamond" w:cs="Times New Roman"/>
          <w:lang w:val="es-ES"/>
        </w:rPr>
        <w:t>,</w:t>
      </w:r>
      <w:r w:rsidR="0046076C">
        <w:rPr>
          <w:rFonts w:ascii="Garamond" w:hAnsi="Garamond" w:cs="Times New Roman"/>
          <w:lang w:val="es-ES"/>
        </w:rPr>
        <w:br/>
      </w:r>
      <w:r w:rsidR="00D16464">
        <w:rPr>
          <w:rFonts w:ascii="Garamond" w:hAnsi="Garamond" w:cs="Times New Roman"/>
          <w:lang w:val="es-ES"/>
        </w:rPr>
        <w:t>100 x 67 cm. Aachen, StÄdstisches Suermondt-Ludwig-Museum (R 202).</w:t>
      </w:r>
    </w:p>
    <w:p w:rsidR="009B3814" w:rsidRPr="00AC66AC" w:rsidRDefault="009B3814" w:rsidP="00BF511C">
      <w:pPr>
        <w:spacing w:line="360" w:lineRule="auto"/>
        <w:jc w:val="center"/>
        <w:rPr>
          <w:rFonts w:ascii="Garamond" w:hAnsi="Garamond" w:cs="Times New Roman"/>
          <w:lang w:val="es-ES"/>
        </w:rPr>
      </w:pPr>
    </w:p>
    <w:sectPr w:rsidR="009B3814" w:rsidRPr="00AC66AC" w:rsidSect="00FD51DE">
      <w:footerReference w:type="even" r:id="rId9"/>
      <w:footerReference w:type="default" r:id="rId10"/>
      <w:pgSz w:w="11900" w:h="16840"/>
      <w:pgMar w:top="1417" w:right="1701" w:bottom="1417" w:left="1701" w:header="708" w:footer="708" w:gutter="0"/>
      <w:cols w:space="708"/>
      <w:titlePg/>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FD51DE" w:rsidRDefault="00FD51DE" w:rsidP="00FD51DE">
      <w:r>
        <w:separator/>
      </w:r>
    </w:p>
  </w:endnote>
  <w:endnote w:type="continuationSeparator" w:id="1">
    <w:p w:rsidR="00FD51DE" w:rsidRDefault="00FD51DE" w:rsidP="00FD51DE">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0000400000000000000"/>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Times New Roman (Cuerpo en alfa">
    <w:panose1 w:val="00000000000000000000"/>
    <w:charset w:val="00"/>
    <w:family w:val="roman"/>
    <w:notTrueType/>
    <w:pitch w:val="default"/>
    <w:sig w:usb0="00000000" w:usb1="00000000" w:usb2="00000000" w:usb3="00000000" w:csb0="00000000" w:csb1="00000000"/>
  </w:font>
  <w:font w:name="@˝ø/CÛ">
    <w:panose1 w:val="00000000000000000000"/>
    <w:charset w:val="00"/>
    <w:family w:val="roman"/>
    <w:notTrueType/>
    <w:pitch w:val="default"/>
    <w:sig w:usb0="00000000" w:usb1="00000000" w:usb2="00000000" w:usb3="00000000" w:csb0="00000000"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D51DE" w:rsidRDefault="00FF2946" w:rsidP="00CC0F9F">
    <w:pPr>
      <w:pStyle w:val="Piedepgina"/>
      <w:framePr w:wrap="around" w:vAnchor="text" w:hAnchor="margin" w:xAlign="right" w:y="1"/>
      <w:rPr>
        <w:rStyle w:val="Nmerodepgina"/>
      </w:rPr>
    </w:pPr>
    <w:r>
      <w:rPr>
        <w:rStyle w:val="Nmerodepgina"/>
      </w:rPr>
      <w:fldChar w:fldCharType="begin"/>
    </w:r>
    <w:r w:rsidR="00FD51DE">
      <w:rPr>
        <w:rStyle w:val="Nmerodepgina"/>
      </w:rPr>
      <w:instrText xml:space="preserve">PAGE  </w:instrText>
    </w:r>
    <w:r>
      <w:rPr>
        <w:rStyle w:val="Nmerodepgina"/>
      </w:rPr>
      <w:fldChar w:fldCharType="end"/>
    </w:r>
  </w:p>
  <w:p w:rsidR="00FD51DE" w:rsidRDefault="00FD51DE" w:rsidP="00FD51DE">
    <w:pPr>
      <w:pStyle w:val="Piedepgina"/>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D51DE" w:rsidRPr="00FD51DE" w:rsidRDefault="00FF2946" w:rsidP="00FD51DE">
    <w:pPr>
      <w:pStyle w:val="Piedepgina"/>
      <w:framePr w:wrap="around" w:vAnchor="text" w:hAnchor="margin" w:xAlign="right" w:y="1"/>
      <w:jc w:val="both"/>
      <w:rPr>
        <w:rStyle w:val="Nmerodepgina"/>
      </w:rPr>
    </w:pPr>
    <w:r w:rsidRPr="00FD51DE">
      <w:rPr>
        <w:rStyle w:val="Nmerodepgina"/>
        <w:rFonts w:ascii="Garamond" w:hAnsi="Garamond"/>
        <w:sz w:val="20"/>
        <w:szCs w:val="20"/>
      </w:rPr>
      <w:fldChar w:fldCharType="begin"/>
    </w:r>
    <w:r w:rsidR="00FD51DE" w:rsidRPr="00FD51DE">
      <w:rPr>
        <w:rStyle w:val="Nmerodepgina"/>
        <w:rFonts w:ascii="Garamond" w:hAnsi="Garamond"/>
        <w:sz w:val="20"/>
        <w:szCs w:val="20"/>
      </w:rPr>
      <w:instrText xml:space="preserve">PAGE  </w:instrText>
    </w:r>
    <w:r w:rsidRPr="00FD51DE">
      <w:rPr>
        <w:rStyle w:val="Nmerodepgina"/>
        <w:rFonts w:ascii="Garamond" w:hAnsi="Garamond"/>
        <w:sz w:val="20"/>
        <w:szCs w:val="20"/>
      </w:rPr>
      <w:fldChar w:fldCharType="separate"/>
    </w:r>
    <w:r w:rsidR="00FC573A">
      <w:rPr>
        <w:rStyle w:val="Nmerodepgina"/>
        <w:rFonts w:ascii="Garamond" w:hAnsi="Garamond"/>
        <w:noProof/>
        <w:sz w:val="20"/>
        <w:szCs w:val="20"/>
      </w:rPr>
      <w:t>2</w:t>
    </w:r>
    <w:r w:rsidRPr="00FD51DE">
      <w:rPr>
        <w:rStyle w:val="Nmerodepgina"/>
        <w:rFonts w:ascii="Garamond" w:hAnsi="Garamond"/>
        <w:sz w:val="20"/>
        <w:szCs w:val="20"/>
      </w:rPr>
      <w:fldChar w:fldCharType="end"/>
    </w:r>
  </w:p>
  <w:p w:rsidR="00FD51DE" w:rsidRDefault="00FD51DE" w:rsidP="00FD51DE">
    <w:pPr>
      <w:pStyle w:val="Piedepgina"/>
      <w:ind w:right="360"/>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FD51DE" w:rsidRDefault="00FD51DE" w:rsidP="00FD51DE">
      <w:r>
        <w:separator/>
      </w:r>
    </w:p>
  </w:footnote>
  <w:footnote w:type="continuationSeparator" w:id="1">
    <w:p w:rsidR="00FD51DE" w:rsidRDefault="00FD51DE" w:rsidP="00FD51D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TrackMoves/>
  <w:defaultTabStop w:val="708"/>
  <w:hyphenationZone w:val="425"/>
  <w:characterSpacingControl w:val="doNotCompress"/>
  <w:footnotePr>
    <w:footnote w:id="0"/>
    <w:footnote w:id="1"/>
  </w:footnotePr>
  <w:endnotePr>
    <w:endnote w:id="0"/>
    <w:endnote w:id="1"/>
  </w:endnotePr>
  <w:compat>
    <w:useFELayout/>
  </w:compat>
  <w:rsids>
    <w:rsidRoot w:val="00AA7381"/>
    <w:rsid w:val="00005DFF"/>
    <w:rsid w:val="00007EB5"/>
    <w:rsid w:val="00014556"/>
    <w:rsid w:val="00037F04"/>
    <w:rsid w:val="00084311"/>
    <w:rsid w:val="000A17AD"/>
    <w:rsid w:val="000D6A85"/>
    <w:rsid w:val="00107B3A"/>
    <w:rsid w:val="00141B1C"/>
    <w:rsid w:val="00151333"/>
    <w:rsid w:val="001528AF"/>
    <w:rsid w:val="001559F0"/>
    <w:rsid w:val="001851CE"/>
    <w:rsid w:val="00196388"/>
    <w:rsid w:val="001D61BF"/>
    <w:rsid w:val="001E1461"/>
    <w:rsid w:val="001F2B4B"/>
    <w:rsid w:val="001F3D06"/>
    <w:rsid w:val="00262B04"/>
    <w:rsid w:val="00295C76"/>
    <w:rsid w:val="002B00AF"/>
    <w:rsid w:val="002F416D"/>
    <w:rsid w:val="002F5A9A"/>
    <w:rsid w:val="0034769A"/>
    <w:rsid w:val="00353366"/>
    <w:rsid w:val="00364AAE"/>
    <w:rsid w:val="0037354B"/>
    <w:rsid w:val="0038301C"/>
    <w:rsid w:val="00383DAC"/>
    <w:rsid w:val="0038519A"/>
    <w:rsid w:val="00390030"/>
    <w:rsid w:val="003906A1"/>
    <w:rsid w:val="00397D89"/>
    <w:rsid w:val="00417F7C"/>
    <w:rsid w:val="00422263"/>
    <w:rsid w:val="00457F5F"/>
    <w:rsid w:val="0046076C"/>
    <w:rsid w:val="00492981"/>
    <w:rsid w:val="004B59C7"/>
    <w:rsid w:val="004C0468"/>
    <w:rsid w:val="004E21AC"/>
    <w:rsid w:val="004F28D9"/>
    <w:rsid w:val="00526FA5"/>
    <w:rsid w:val="005939E8"/>
    <w:rsid w:val="005C0548"/>
    <w:rsid w:val="005C1F70"/>
    <w:rsid w:val="005D20F1"/>
    <w:rsid w:val="005D3EF5"/>
    <w:rsid w:val="00611A4F"/>
    <w:rsid w:val="006453DE"/>
    <w:rsid w:val="006866A1"/>
    <w:rsid w:val="00697839"/>
    <w:rsid w:val="006979C5"/>
    <w:rsid w:val="006C6906"/>
    <w:rsid w:val="007229AF"/>
    <w:rsid w:val="007276B5"/>
    <w:rsid w:val="0079514A"/>
    <w:rsid w:val="007A0024"/>
    <w:rsid w:val="007B101C"/>
    <w:rsid w:val="007E2EEE"/>
    <w:rsid w:val="007E571B"/>
    <w:rsid w:val="00805071"/>
    <w:rsid w:val="00847E27"/>
    <w:rsid w:val="00915E3F"/>
    <w:rsid w:val="0093142C"/>
    <w:rsid w:val="00963405"/>
    <w:rsid w:val="009B0A31"/>
    <w:rsid w:val="009B3814"/>
    <w:rsid w:val="009C4130"/>
    <w:rsid w:val="009E02C0"/>
    <w:rsid w:val="009F17D2"/>
    <w:rsid w:val="00A210EB"/>
    <w:rsid w:val="00A31545"/>
    <w:rsid w:val="00A4229F"/>
    <w:rsid w:val="00A8247E"/>
    <w:rsid w:val="00A96191"/>
    <w:rsid w:val="00AA086F"/>
    <w:rsid w:val="00AA7381"/>
    <w:rsid w:val="00AC66AC"/>
    <w:rsid w:val="00AC7D41"/>
    <w:rsid w:val="00AD4442"/>
    <w:rsid w:val="00AD6E06"/>
    <w:rsid w:val="00AE536C"/>
    <w:rsid w:val="00B20994"/>
    <w:rsid w:val="00B41370"/>
    <w:rsid w:val="00B773E6"/>
    <w:rsid w:val="00BA0E18"/>
    <w:rsid w:val="00BC3264"/>
    <w:rsid w:val="00BD2C53"/>
    <w:rsid w:val="00BF511C"/>
    <w:rsid w:val="00C4359B"/>
    <w:rsid w:val="00C72CEB"/>
    <w:rsid w:val="00C74624"/>
    <w:rsid w:val="00CA1E86"/>
    <w:rsid w:val="00CA45BB"/>
    <w:rsid w:val="00CB266C"/>
    <w:rsid w:val="00CB5335"/>
    <w:rsid w:val="00CE713F"/>
    <w:rsid w:val="00D16464"/>
    <w:rsid w:val="00D2147B"/>
    <w:rsid w:val="00D377F3"/>
    <w:rsid w:val="00D439FF"/>
    <w:rsid w:val="00D45C50"/>
    <w:rsid w:val="00D85980"/>
    <w:rsid w:val="00D927BF"/>
    <w:rsid w:val="00D92C14"/>
    <w:rsid w:val="00DA7E25"/>
    <w:rsid w:val="00DB6CC3"/>
    <w:rsid w:val="00DF5C70"/>
    <w:rsid w:val="00E22189"/>
    <w:rsid w:val="00E53EB9"/>
    <w:rsid w:val="00E80F69"/>
    <w:rsid w:val="00E81F43"/>
    <w:rsid w:val="00EA130F"/>
    <w:rsid w:val="00EB63A1"/>
    <w:rsid w:val="00F57618"/>
    <w:rsid w:val="00F61BF2"/>
    <w:rsid w:val="00FB224B"/>
    <w:rsid w:val="00FB49DB"/>
    <w:rsid w:val="00FC573A"/>
    <w:rsid w:val="00FD51DE"/>
    <w:rsid w:val="00FF2946"/>
  </w:rsids>
  <m:mathPr>
    <m:mathFont m:val="Impact"/>
    <m:brkBin m:val="before"/>
    <m:brkBinSub m:val="--"/>
    <m:smallFrac/>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54B"/>
  </w:style>
  <w:style w:type="character" w:default="1" w:styleId="Fuentedeprrafopredeter">
    <w:name w:val="Default Paragraph Font"/>
    <w:semiHidden/>
    <w:unhideWhenUsed/>
  </w:style>
  <w:style w:type="table" w:default="1" w:styleId="Tablanormal">
    <w:name w:val="Normal Table"/>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paragraph" w:styleId="Textodeglobo">
    <w:name w:val="Balloon Text"/>
    <w:basedOn w:val="Normal"/>
    <w:link w:val="TextodegloboCar"/>
    <w:uiPriority w:val="99"/>
    <w:semiHidden/>
    <w:unhideWhenUsed/>
    <w:rsid w:val="007B101C"/>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7B101C"/>
    <w:rPr>
      <w:rFonts w:ascii="Lucida Grande" w:hAnsi="Lucida Grande"/>
      <w:sz w:val="18"/>
      <w:szCs w:val="18"/>
    </w:rPr>
  </w:style>
  <w:style w:type="character" w:styleId="Enfasis">
    <w:name w:val="Emphasis"/>
    <w:basedOn w:val="Fuentedeprrafopredeter"/>
    <w:uiPriority w:val="20"/>
    <w:qFormat/>
    <w:rsid w:val="00D92C14"/>
    <w:rPr>
      <w:i/>
      <w:iCs/>
    </w:rPr>
  </w:style>
  <w:style w:type="paragraph" w:styleId="Piedepgina">
    <w:name w:val="footer"/>
    <w:basedOn w:val="Normal"/>
    <w:link w:val="PiedepginaCar"/>
    <w:uiPriority w:val="99"/>
    <w:unhideWhenUsed/>
    <w:rsid w:val="00FD51DE"/>
    <w:pPr>
      <w:tabs>
        <w:tab w:val="center" w:pos="4252"/>
        <w:tab w:val="right" w:pos="8504"/>
      </w:tabs>
    </w:pPr>
  </w:style>
  <w:style w:type="character" w:customStyle="1" w:styleId="PiedepginaCar">
    <w:name w:val="Pie de página Car"/>
    <w:basedOn w:val="Fuentedeprrafopredeter"/>
    <w:link w:val="Piedepgina"/>
    <w:uiPriority w:val="99"/>
    <w:rsid w:val="00FD51DE"/>
  </w:style>
  <w:style w:type="character" w:styleId="Nmerodepgina">
    <w:name w:val="page number"/>
    <w:basedOn w:val="Fuentedeprrafopredeter"/>
    <w:uiPriority w:val="99"/>
    <w:semiHidden/>
    <w:unhideWhenUsed/>
    <w:rsid w:val="00FD51DE"/>
  </w:style>
  <w:style w:type="paragraph" w:styleId="Encabezado">
    <w:name w:val="header"/>
    <w:basedOn w:val="Normal"/>
    <w:link w:val="EncabezadoCar"/>
    <w:uiPriority w:val="99"/>
    <w:unhideWhenUsed/>
    <w:rsid w:val="00FD51DE"/>
    <w:pPr>
      <w:tabs>
        <w:tab w:val="center" w:pos="4252"/>
        <w:tab w:val="right" w:pos="8504"/>
      </w:tabs>
    </w:pPr>
  </w:style>
  <w:style w:type="character" w:customStyle="1" w:styleId="EncabezadoCar">
    <w:name w:val="Encabezado Car"/>
    <w:basedOn w:val="Fuentedeprrafopredeter"/>
    <w:link w:val="Encabezado"/>
    <w:uiPriority w:val="99"/>
    <w:rsid w:val="00FD51D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B101C"/>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7B101C"/>
    <w:rPr>
      <w:rFonts w:ascii="Lucida Grande" w:hAnsi="Lucida Grande"/>
      <w:sz w:val="18"/>
      <w:szCs w:val="18"/>
    </w:rPr>
  </w:style>
  <w:style w:type="character" w:styleId="Enfasis">
    <w:name w:val="Emphasis"/>
    <w:basedOn w:val="Fuentedeprrafopredeter"/>
    <w:uiPriority w:val="20"/>
    <w:qFormat/>
    <w:rsid w:val="00D92C14"/>
    <w:rPr>
      <w:i/>
      <w:iCs/>
    </w:rPr>
  </w:style>
  <w:style w:type="paragraph" w:styleId="Piedepgina">
    <w:name w:val="footer"/>
    <w:basedOn w:val="Normal"/>
    <w:link w:val="PiedepginaCar"/>
    <w:uiPriority w:val="99"/>
    <w:unhideWhenUsed/>
    <w:rsid w:val="00FD51DE"/>
    <w:pPr>
      <w:tabs>
        <w:tab w:val="center" w:pos="4252"/>
        <w:tab w:val="right" w:pos="8504"/>
      </w:tabs>
    </w:pPr>
  </w:style>
  <w:style w:type="character" w:customStyle="1" w:styleId="PiedepginaCar">
    <w:name w:val="Pie de página Car"/>
    <w:basedOn w:val="Fuentedeprrafopredeter"/>
    <w:link w:val="Piedepgina"/>
    <w:uiPriority w:val="99"/>
    <w:rsid w:val="00FD51DE"/>
  </w:style>
  <w:style w:type="character" w:styleId="Nmerodepgina">
    <w:name w:val="page number"/>
    <w:basedOn w:val="Fuentedeprrafopredeter"/>
    <w:uiPriority w:val="99"/>
    <w:semiHidden/>
    <w:unhideWhenUsed/>
    <w:rsid w:val="00FD51DE"/>
  </w:style>
  <w:style w:type="paragraph" w:styleId="Encabezado">
    <w:name w:val="header"/>
    <w:basedOn w:val="Normal"/>
    <w:link w:val="EncabezadoCar"/>
    <w:uiPriority w:val="99"/>
    <w:unhideWhenUsed/>
    <w:rsid w:val="00FD51DE"/>
    <w:pPr>
      <w:tabs>
        <w:tab w:val="center" w:pos="4252"/>
        <w:tab w:val="right" w:pos="8504"/>
      </w:tabs>
    </w:pPr>
  </w:style>
  <w:style w:type="character" w:customStyle="1" w:styleId="EncabezadoCar">
    <w:name w:val="Encabezado Car"/>
    <w:basedOn w:val="Fuentedeprrafopredeter"/>
    <w:link w:val="Encabezado"/>
    <w:uiPriority w:val="99"/>
    <w:rsid w:val="00FD51DE"/>
  </w:style>
</w:styles>
</file>

<file path=word/webSettings.xml><?xml version="1.0" encoding="utf-8"?>
<w:webSettings xmlns:r="http://schemas.openxmlformats.org/officeDocument/2006/relationships" xmlns:w="http://schemas.openxmlformats.org/wordprocessingml/2006/main">
  <w:divs>
    <w:div w:id="187383757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3"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154</TotalTime>
  <Pages>5</Pages>
  <Words>821</Words>
  <Characters>4683</Characters>
  <Application>Microsoft Word 12.1.0</Application>
  <DocSecurity>0</DocSecurity>
  <Lines>39</Lines>
  <Paragraphs>9</Paragraphs>
  <ScaleCrop>false</ScaleCrop>
  <HeadingPairs>
    <vt:vector size="2" baseType="variant">
      <vt:variant>
        <vt:lpstr>Título</vt:lpstr>
      </vt:variant>
      <vt:variant>
        <vt:i4>1</vt:i4>
      </vt:variant>
    </vt:vector>
  </HeadingPairs>
  <TitlesOfParts>
    <vt:vector size="1" baseType="lpstr">
      <vt:lpstr/>
    </vt:vector>
  </TitlesOfParts>
  <Company>CA</Company>
  <LinksUpToDate>false</LinksUpToDate>
  <CharactersWithSpaces>5751</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EugenioMac</dc:creator>
  <cp:keywords/>
  <dc:description/>
  <cp:lastModifiedBy>Alejandro Martínez</cp:lastModifiedBy>
  <cp:revision>45</cp:revision>
  <cp:lastPrinted>2014-03-03T12:40:00Z</cp:lastPrinted>
  <dcterms:created xsi:type="dcterms:W3CDTF">2014-09-24T09:06:00Z</dcterms:created>
  <dcterms:modified xsi:type="dcterms:W3CDTF">2020-04-20T12:46:00Z</dcterms:modified>
</cp:coreProperties>
</file>